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623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УПРАВЛЕНИЕ ПРОЕКТАМИ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Чепурного Семена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Чепурной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УПРАВЛЕНИЕ ПРОЕКТАМИ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Светлая д.40 офис 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Чепурной С.С.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Чепурного С.С.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УПРАВЛЕНИЕ ПРОЕКТАМИ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Чепурной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Чепурного С.С.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</w:t>
      </w:r>
      <w:r>
        <w:rPr>
          <w:rFonts w:ascii="Times New Roman" w:eastAsia="Times New Roman" w:hAnsi="Times New Roman" w:cs="Times New Roman"/>
        </w:rPr>
        <w:t>5700</w:t>
      </w:r>
      <w:r>
        <w:rPr>
          <w:rFonts w:ascii="Times New Roman" w:eastAsia="Times New Roman" w:hAnsi="Times New Roman" w:cs="Times New Roman"/>
        </w:rPr>
        <w:t>03690001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УПРАВЛЕНИЕ ПРОЕКТАМИ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копией расчета по страховым взносам, поступившим в налоговый орган </w:t>
      </w:r>
      <w:r>
        <w:rPr>
          <w:rFonts w:ascii="Times New Roman" w:eastAsia="Times New Roman" w:hAnsi="Times New Roman" w:cs="Times New Roman"/>
        </w:rPr>
        <w:t>25.05.2023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Чепурного С.С.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УПРАВЛЕНИЕ ПРОЕКТАМИ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Чепурного Семена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5101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26F4-AD98-4BA9-97BD-057167EACC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